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779B9" w14:textId="77777777" w:rsidR="00A432A8" w:rsidRPr="001C7B85" w:rsidRDefault="001C7B85">
      <w:pPr>
        <w:spacing w:after="0"/>
        <w:ind w:firstLine="709"/>
        <w:jc w:val="center"/>
        <w:rPr>
          <w:b/>
        </w:rPr>
      </w:pPr>
      <w:r w:rsidRPr="001C7B85">
        <w:rPr>
          <w:b/>
        </w:rPr>
        <w:t>ANNOTATION</w:t>
      </w:r>
    </w:p>
    <w:p w14:paraId="641779BA" w14:textId="77777777" w:rsidR="00A432A8" w:rsidRPr="001C7B85" w:rsidRDefault="001C7B85">
      <w:pPr>
        <w:spacing w:after="0"/>
        <w:ind w:firstLine="709"/>
        <w:jc w:val="center"/>
        <w:rPr>
          <w:b/>
        </w:rPr>
      </w:pPr>
      <w:r w:rsidRPr="001C7B85">
        <w:rPr>
          <w:b/>
        </w:rPr>
        <w:t>of the dissertation for the degree of Doctor of Philosophy (PhD) in</w:t>
      </w:r>
    </w:p>
    <w:p w14:paraId="641779BB" w14:textId="77777777" w:rsidR="00A432A8" w:rsidRPr="001C7B85" w:rsidRDefault="001C7B85">
      <w:pPr>
        <w:spacing w:after="0"/>
        <w:ind w:firstLine="709"/>
        <w:jc w:val="center"/>
        <w:rPr>
          <w:b/>
        </w:rPr>
      </w:pPr>
      <w:r w:rsidRPr="001C7B85">
        <w:rPr>
          <w:b/>
        </w:rPr>
        <w:t>specialty: 8D10102 “Medicine” of Ganzhula Yuliya Leonidovna</w:t>
      </w:r>
    </w:p>
    <w:p w14:paraId="641779BC" w14:textId="77777777" w:rsidR="00A432A8" w:rsidRPr="001C7B85" w:rsidRDefault="001C7B85">
      <w:pPr>
        <w:spacing w:after="0"/>
        <w:ind w:firstLine="709"/>
        <w:jc w:val="center"/>
        <w:rPr>
          <w:b/>
        </w:rPr>
      </w:pPr>
      <w:r w:rsidRPr="001C7B85">
        <w:rPr>
          <w:b/>
        </w:rPr>
        <w:t>on the theme of “Study of intestinal microbiome and its immunoregulatory role in human aging”</w:t>
      </w:r>
    </w:p>
    <w:p w14:paraId="641779BD" w14:textId="77777777" w:rsidR="00A432A8" w:rsidRPr="001C7B85" w:rsidRDefault="00A432A8">
      <w:pPr>
        <w:spacing w:after="0"/>
      </w:pPr>
      <w:bookmarkStart w:id="0" w:name="_GoBack"/>
      <w:bookmarkEnd w:id="0"/>
    </w:p>
    <w:p w14:paraId="641779BE" w14:textId="77777777" w:rsidR="00A432A8" w:rsidRPr="001C7B85" w:rsidRDefault="001C7B85">
      <w:pPr>
        <w:spacing w:after="0"/>
        <w:ind w:firstLine="708"/>
        <w:rPr>
          <w:b/>
        </w:rPr>
      </w:pPr>
      <w:r w:rsidRPr="001C7B85">
        <w:rPr>
          <w:b/>
        </w:rPr>
        <w:t>Relevance of the research topic:</w:t>
      </w:r>
    </w:p>
    <w:p w14:paraId="641779BF" w14:textId="77777777" w:rsidR="00A432A8" w:rsidRPr="001C7B85" w:rsidRDefault="001C7B85">
      <w:pPr>
        <w:spacing w:after="0"/>
        <w:ind w:firstLine="708"/>
        <w:jc w:val="both"/>
      </w:pPr>
      <w:r w:rsidRPr="001C7B85">
        <w:t>Healthy elderly people who become long-livers represent a successful model of aging, that is characterized by a relatively low level of various diseases and an increased duration of good health compared to the older adults.</w:t>
      </w:r>
    </w:p>
    <w:p w14:paraId="641779C0" w14:textId="77777777" w:rsidR="00A432A8" w:rsidRPr="001C7B85" w:rsidRDefault="001C7B85">
      <w:pPr>
        <w:spacing w:after="0"/>
        <w:ind w:firstLine="708"/>
        <w:jc w:val="both"/>
      </w:pPr>
      <w:r w:rsidRPr="001C7B85">
        <w:t>There is an important link between the state of the gut microbiota and various aspects of human health. The relationship between the diversity of the intestinal flora and the aging process is manifested by different bacterial counts in different age group</w:t>
      </w:r>
      <w:r w:rsidRPr="001C7B85">
        <w:t>s. The structure and composition of the human intestinal microbiota are shaped by long-lasting selection that affects both the microorganisms and the host organism [Xu C.et.al., 2019, Bosco N. et.al., 2021].</w:t>
      </w:r>
    </w:p>
    <w:p w14:paraId="641779C1" w14:textId="77777777" w:rsidR="00A432A8" w:rsidRPr="001C7B85" w:rsidRDefault="001C7B85">
      <w:pPr>
        <w:spacing w:after="0"/>
        <w:ind w:firstLine="708"/>
        <w:jc w:val="both"/>
      </w:pPr>
      <w:r w:rsidRPr="001C7B85">
        <w:t>About 80% of all cells of the body's immune syst</w:t>
      </w:r>
      <w:r w:rsidRPr="001C7B85">
        <w:t xml:space="preserve">em are located in the intestinal mucosa, with immunologically active tissues and cells making up about 25% of this mucosa. The intestinal mucosa is an important component of the macroorganism that forms the basis of its immune system. The intestine can be </w:t>
      </w:r>
      <w:r w:rsidRPr="001C7B85">
        <w:t>considered as the largest immune organ in humans, where the microbiota plays a crucial role in the formation of both local and systemic immunity [Congmin Xu et.al., 2019].</w:t>
      </w:r>
    </w:p>
    <w:p w14:paraId="641779C2" w14:textId="77777777" w:rsidR="00A432A8" w:rsidRPr="001C7B85" w:rsidRDefault="001C7B85">
      <w:pPr>
        <w:spacing w:after="0"/>
        <w:ind w:firstLine="708"/>
        <w:jc w:val="both"/>
      </w:pPr>
      <w:r w:rsidRPr="001C7B85">
        <w:t>The aging process is significantly influenced by changes in the intestinal microbiom</w:t>
      </w:r>
      <w:r w:rsidRPr="001C7B85">
        <w:t>e, which is affected by nutrition, genetics and lifestyle of the elderly people. In this context, the study of the intestinal microbiome in long-lived individuals may contribute to understanding how, with increasing longevity, the intestinal microflora ada</w:t>
      </w:r>
      <w:r w:rsidRPr="001C7B85">
        <w:t>pts to changes and maintains the body's immunologic homeostasis. This also contributes to quality ageing and enhances survivability of an organism. Therefore, it is crucial to determine the structure of the intestinal microbiome, which plays a crucial role</w:t>
      </w:r>
      <w:r w:rsidRPr="001C7B85">
        <w:t xml:space="preserve"> in the longevity process. Of interest are potential changes in the composition of the microbiota and the interaction of the microbiota with diet in the context of aging. It is important to understand the relationship between the gut microbiota, diet and a</w:t>
      </w:r>
      <w:r w:rsidRPr="001C7B85">
        <w:t>ging processes.</w:t>
      </w:r>
    </w:p>
    <w:p w14:paraId="641779C3" w14:textId="77777777" w:rsidR="00A432A8" w:rsidRPr="001C7B85" w:rsidRDefault="00A432A8">
      <w:pPr>
        <w:spacing w:after="0"/>
        <w:ind w:firstLine="708"/>
        <w:jc w:val="both"/>
        <w:rPr>
          <w:b/>
        </w:rPr>
      </w:pPr>
    </w:p>
    <w:p w14:paraId="641779C4" w14:textId="77777777" w:rsidR="00A432A8" w:rsidRPr="001C7B85" w:rsidRDefault="001C7B85">
      <w:pPr>
        <w:spacing w:after="0"/>
        <w:ind w:firstLine="708"/>
        <w:jc w:val="both"/>
        <w:rPr>
          <w:b/>
        </w:rPr>
      </w:pPr>
      <w:r w:rsidRPr="001C7B85">
        <w:rPr>
          <w:b/>
        </w:rPr>
        <w:t>Research aim:</w:t>
      </w:r>
    </w:p>
    <w:p w14:paraId="641779C5" w14:textId="77777777" w:rsidR="00A432A8" w:rsidRPr="001C7B85" w:rsidRDefault="001C7B85">
      <w:pPr>
        <w:spacing w:after="0"/>
        <w:ind w:firstLine="708"/>
        <w:jc w:val="both"/>
      </w:pPr>
      <w:r w:rsidRPr="001C7B85">
        <w:t>To study the structural and functional characteristics of intestinal microbiota, immune parameters and their influence on involutional and functional changes occurring in the aging process to develop an algorithm for monitori</w:t>
      </w:r>
      <w:r w:rsidRPr="001C7B85">
        <w:t>ng the condition of elderly people.</w:t>
      </w:r>
    </w:p>
    <w:p w14:paraId="641779C6" w14:textId="77777777" w:rsidR="00A432A8" w:rsidRPr="001C7B85" w:rsidRDefault="00A432A8">
      <w:pPr>
        <w:spacing w:after="0"/>
        <w:ind w:firstLine="708"/>
        <w:jc w:val="both"/>
        <w:rPr>
          <w:b/>
        </w:rPr>
      </w:pPr>
    </w:p>
    <w:p w14:paraId="641779C7" w14:textId="77777777" w:rsidR="00A432A8" w:rsidRPr="001C7B85" w:rsidRDefault="001C7B85">
      <w:pPr>
        <w:spacing w:after="0"/>
        <w:ind w:firstLine="708"/>
        <w:jc w:val="both"/>
      </w:pPr>
      <w:r w:rsidRPr="001C7B85">
        <w:rPr>
          <w:b/>
        </w:rPr>
        <w:t>Research objectives</w:t>
      </w:r>
      <w:r w:rsidRPr="001C7B85">
        <w:t xml:space="preserve">: </w:t>
      </w:r>
    </w:p>
    <w:p w14:paraId="641779C8" w14:textId="77777777" w:rsidR="00A432A8" w:rsidRPr="001C7B85" w:rsidRDefault="001C7B85">
      <w:pPr>
        <w:spacing w:after="0"/>
        <w:ind w:firstLine="708"/>
        <w:jc w:val="both"/>
      </w:pPr>
      <w:r w:rsidRPr="001C7B85">
        <w:t>1) To conduct a comprehensive clinical, laboratory and geriatric examination of the elderly and centenarians.</w:t>
      </w:r>
    </w:p>
    <w:p w14:paraId="641779C9" w14:textId="77777777" w:rsidR="00A432A8" w:rsidRPr="001C7B85" w:rsidRDefault="001C7B85">
      <w:pPr>
        <w:spacing w:after="0"/>
        <w:ind w:firstLine="708"/>
        <w:jc w:val="both"/>
      </w:pPr>
      <w:r w:rsidRPr="001C7B85">
        <w:lastRenderedPageBreak/>
        <w:t>2) To analyze the composition of the intestinal microbiome in representatives of two ag</w:t>
      </w:r>
      <w:r w:rsidRPr="001C7B85">
        <w:t>e categories, their nutritional characteristics and the participation of microbiota in the implementation of metabolic pathways.</w:t>
      </w:r>
    </w:p>
    <w:p w14:paraId="641779CA" w14:textId="77777777" w:rsidR="00A432A8" w:rsidRPr="001C7B85" w:rsidRDefault="001C7B85">
      <w:pPr>
        <w:spacing w:after="0"/>
        <w:ind w:firstLine="708"/>
        <w:jc w:val="both"/>
      </w:pPr>
      <w:r w:rsidRPr="001C7B85">
        <w:t>3) Assess the parameters of the systemic and local immune status of study participants.</w:t>
      </w:r>
    </w:p>
    <w:p w14:paraId="641779CB" w14:textId="77777777" w:rsidR="00A432A8" w:rsidRPr="001C7B85" w:rsidRDefault="001C7B85">
      <w:pPr>
        <w:spacing w:after="0"/>
        <w:ind w:firstLine="708"/>
        <w:jc w:val="both"/>
      </w:pPr>
      <w:r w:rsidRPr="001C7B85">
        <w:t>4) To investigate the interrelationship</w:t>
      </w:r>
      <w:r w:rsidRPr="001C7B85">
        <w:t>s between structural and functional characteristics of the intestinal microbiome and immune indices, as well as their influence on laboratory and geriatric indices in the group of long-livers.</w:t>
      </w:r>
    </w:p>
    <w:p w14:paraId="641779CC" w14:textId="77777777" w:rsidR="00A432A8" w:rsidRPr="001C7B85" w:rsidRDefault="001C7B85">
      <w:pPr>
        <w:spacing w:after="0"/>
        <w:ind w:firstLine="708"/>
        <w:jc w:val="both"/>
      </w:pPr>
      <w:r w:rsidRPr="001C7B85">
        <w:t>5) To develop an algorithm for monitoring elderly patients in c</w:t>
      </w:r>
      <w:r w:rsidRPr="001C7B85">
        <w:t>linical practice and practical recommendations aimed at maintaining health and prolonging active longevity.</w:t>
      </w:r>
    </w:p>
    <w:p w14:paraId="641779CD" w14:textId="77777777" w:rsidR="00A432A8" w:rsidRPr="001C7B85" w:rsidRDefault="00A432A8">
      <w:pPr>
        <w:spacing w:after="0"/>
        <w:ind w:firstLine="708"/>
        <w:jc w:val="both"/>
        <w:rPr>
          <w:b/>
        </w:rPr>
      </w:pPr>
    </w:p>
    <w:p w14:paraId="641779CE" w14:textId="77777777" w:rsidR="00A432A8" w:rsidRPr="001C7B85" w:rsidRDefault="001C7B85">
      <w:pPr>
        <w:spacing w:after="0"/>
        <w:ind w:firstLine="708"/>
        <w:jc w:val="both"/>
        <w:rPr>
          <w:b/>
        </w:rPr>
      </w:pPr>
      <w:r w:rsidRPr="001C7B85">
        <w:rPr>
          <w:b/>
        </w:rPr>
        <w:t>Research design:</w:t>
      </w:r>
    </w:p>
    <w:p w14:paraId="641779CF" w14:textId="77777777" w:rsidR="00A432A8" w:rsidRPr="001C7B85" w:rsidRDefault="001C7B85">
      <w:pPr>
        <w:spacing w:after="0"/>
        <w:ind w:firstLine="708"/>
        <w:jc w:val="both"/>
      </w:pPr>
      <w:r w:rsidRPr="001C7B85">
        <w:t>An observational analytical study of the “case-control” type. Main group - long-livers (over 90 years old) - 46 people, control gr</w:t>
      </w:r>
      <w:r w:rsidRPr="001C7B85">
        <w:t>oup - respondents in the 60-80 years old age group - 50 people.</w:t>
      </w:r>
    </w:p>
    <w:p w14:paraId="641779D0" w14:textId="77777777" w:rsidR="00A432A8" w:rsidRPr="001C7B85" w:rsidRDefault="001C7B85">
      <w:pPr>
        <w:spacing w:after="0"/>
        <w:jc w:val="both"/>
      </w:pPr>
      <w:r w:rsidRPr="001C7B85">
        <w:t>Inclusion criteria for the main study group:</w:t>
      </w:r>
    </w:p>
    <w:p w14:paraId="641779D1" w14:textId="77777777" w:rsidR="00A432A8" w:rsidRPr="001C7B85" w:rsidRDefault="001C7B85">
      <w:pPr>
        <w:spacing w:after="0"/>
        <w:jc w:val="both"/>
      </w:pPr>
      <w:r w:rsidRPr="001C7B85">
        <w:t>- age over 90 years old</w:t>
      </w:r>
    </w:p>
    <w:p w14:paraId="641779D2" w14:textId="77777777" w:rsidR="00A432A8" w:rsidRPr="001C7B85" w:rsidRDefault="001C7B85">
      <w:pPr>
        <w:spacing w:after="0"/>
        <w:jc w:val="both"/>
      </w:pPr>
      <w:r w:rsidRPr="001C7B85">
        <w:t>Inclusion criteria for the control group of the study:</w:t>
      </w:r>
    </w:p>
    <w:p w14:paraId="641779D3" w14:textId="77777777" w:rsidR="00A432A8" w:rsidRPr="001C7B85" w:rsidRDefault="001C7B85">
      <w:pPr>
        <w:spacing w:after="0"/>
        <w:jc w:val="both"/>
      </w:pPr>
      <w:r w:rsidRPr="001C7B85">
        <w:t xml:space="preserve">-age from 60 to 80 years old </w:t>
      </w:r>
    </w:p>
    <w:p w14:paraId="641779D4" w14:textId="77777777" w:rsidR="00A432A8" w:rsidRPr="001C7B85" w:rsidRDefault="001C7B85">
      <w:pPr>
        <w:spacing w:after="0"/>
        <w:jc w:val="both"/>
      </w:pPr>
      <w:r w:rsidRPr="001C7B85">
        <w:t>Exclusion criteria for both groups:</w:t>
      </w:r>
    </w:p>
    <w:p w14:paraId="641779D5" w14:textId="77777777" w:rsidR="00A432A8" w:rsidRPr="001C7B85" w:rsidRDefault="001C7B85">
      <w:pPr>
        <w:spacing w:after="0"/>
        <w:jc w:val="both"/>
      </w:pPr>
      <w:r w:rsidRPr="001C7B85">
        <w:t>-absence of consent for participation in the study</w:t>
      </w:r>
    </w:p>
    <w:p w14:paraId="641779D6" w14:textId="77777777" w:rsidR="00A432A8" w:rsidRPr="001C7B85" w:rsidRDefault="001C7B85">
      <w:pPr>
        <w:spacing w:after="0"/>
        <w:jc w:val="both"/>
      </w:pPr>
      <w:r w:rsidRPr="001C7B85">
        <w:t>-presence of acute infectious, autoimmune, oncologic diseases</w:t>
      </w:r>
    </w:p>
    <w:p w14:paraId="641779D7" w14:textId="77777777" w:rsidR="00A432A8" w:rsidRPr="001C7B85" w:rsidRDefault="001C7B85">
      <w:pPr>
        <w:spacing w:after="0"/>
        <w:jc w:val="both"/>
      </w:pPr>
      <w:r w:rsidRPr="001C7B85">
        <w:t>-taking antibacterial, cytostatic, hormonal drugs, nutritional supplements, probiotics and dieting in the last 3 months before the study.</w:t>
      </w:r>
    </w:p>
    <w:p w14:paraId="641779D8" w14:textId="77777777" w:rsidR="00A432A8" w:rsidRPr="001C7B85" w:rsidRDefault="00A432A8">
      <w:pPr>
        <w:spacing w:after="0"/>
        <w:jc w:val="both"/>
      </w:pPr>
    </w:p>
    <w:p w14:paraId="641779D9" w14:textId="77777777" w:rsidR="00A432A8" w:rsidRPr="001C7B85" w:rsidRDefault="001C7B85">
      <w:pPr>
        <w:spacing w:after="0"/>
        <w:jc w:val="both"/>
        <w:rPr>
          <w:b/>
        </w:rPr>
      </w:pPr>
      <w:r w:rsidRPr="001C7B85">
        <w:tab/>
      </w:r>
      <w:r w:rsidRPr="001C7B85">
        <w:rPr>
          <w:b/>
        </w:rPr>
        <w:t>Res</w:t>
      </w:r>
      <w:r w:rsidRPr="001C7B85">
        <w:rPr>
          <w:b/>
        </w:rPr>
        <w:t>earch methods:</w:t>
      </w:r>
    </w:p>
    <w:p w14:paraId="641779DA" w14:textId="77777777" w:rsidR="00A432A8" w:rsidRPr="001C7B85" w:rsidRDefault="001C7B85">
      <w:pPr>
        <w:tabs>
          <w:tab w:val="left" w:pos="284"/>
        </w:tabs>
        <w:spacing w:after="0"/>
        <w:jc w:val="both"/>
      </w:pPr>
      <w:r w:rsidRPr="001C7B85">
        <w:t xml:space="preserve">1. </w:t>
      </w:r>
      <w:r w:rsidRPr="001C7B85">
        <w:tab/>
        <w:t xml:space="preserve">Comprehensive examination of patients (CBC, Urinalysis, biochemical analysis of blood, immunologic study of feces); </w:t>
      </w:r>
    </w:p>
    <w:p w14:paraId="641779DB" w14:textId="77777777" w:rsidR="00A432A8" w:rsidRPr="001C7B85" w:rsidRDefault="001C7B85">
      <w:pPr>
        <w:tabs>
          <w:tab w:val="left" w:pos="284"/>
        </w:tabs>
        <w:spacing w:after="0"/>
        <w:jc w:val="both"/>
      </w:pPr>
      <w:r w:rsidRPr="001C7B85">
        <w:t xml:space="preserve">2. </w:t>
      </w:r>
      <w:r w:rsidRPr="001C7B85">
        <w:tab/>
        <w:t>Geriatric evaluation of study participants using the FRAIL, SARC-F, IADL and Bartel scales</w:t>
      </w:r>
    </w:p>
    <w:p w14:paraId="641779DC" w14:textId="77777777" w:rsidR="00A432A8" w:rsidRPr="001C7B85" w:rsidRDefault="001C7B85">
      <w:pPr>
        <w:tabs>
          <w:tab w:val="left" w:pos="284"/>
        </w:tabs>
        <w:spacing w:after="0"/>
        <w:jc w:val="both"/>
      </w:pPr>
      <w:r w:rsidRPr="001C7B85">
        <w:t xml:space="preserve">3. </w:t>
      </w:r>
      <w:r w:rsidRPr="001C7B85">
        <w:tab/>
        <w:t>Nutritional assessmen</w:t>
      </w:r>
      <w:r w:rsidRPr="001C7B85">
        <w:t>t by means of Food Frequency Questionnaire with subsequent analysis and processing of the obtained data</w:t>
      </w:r>
    </w:p>
    <w:p w14:paraId="641779DD" w14:textId="77777777" w:rsidR="00A432A8" w:rsidRPr="001C7B85" w:rsidRDefault="001C7B85">
      <w:pPr>
        <w:tabs>
          <w:tab w:val="left" w:pos="284"/>
        </w:tabs>
        <w:spacing w:after="0"/>
        <w:jc w:val="both"/>
      </w:pPr>
      <w:r w:rsidRPr="001C7B85">
        <w:t xml:space="preserve">4. </w:t>
      </w:r>
      <w:r w:rsidRPr="001C7B85">
        <w:tab/>
        <w:t>Study of immune status</w:t>
      </w:r>
    </w:p>
    <w:p w14:paraId="641779DE" w14:textId="77777777" w:rsidR="00A432A8" w:rsidRPr="001C7B85" w:rsidRDefault="001C7B85">
      <w:pPr>
        <w:tabs>
          <w:tab w:val="left" w:pos="284"/>
        </w:tabs>
        <w:spacing w:after="0"/>
        <w:jc w:val="both"/>
      </w:pPr>
      <w:r w:rsidRPr="001C7B85">
        <w:t xml:space="preserve">5. </w:t>
      </w:r>
      <w:r w:rsidRPr="001C7B85">
        <w:tab/>
        <w:t>Stool sequencing to determine the microbiome of the large intestine</w:t>
      </w:r>
    </w:p>
    <w:p w14:paraId="641779DF" w14:textId="77777777" w:rsidR="00A432A8" w:rsidRPr="001C7B85" w:rsidRDefault="001C7B85">
      <w:pPr>
        <w:tabs>
          <w:tab w:val="left" w:pos="284"/>
        </w:tabs>
        <w:spacing w:after="0"/>
        <w:jc w:val="both"/>
      </w:pPr>
      <w:r w:rsidRPr="001C7B85">
        <w:t xml:space="preserve">6. </w:t>
      </w:r>
      <w:r w:rsidRPr="001C7B85">
        <w:tab/>
        <w:t>Bioinformatics analysis</w:t>
      </w:r>
    </w:p>
    <w:p w14:paraId="641779E0" w14:textId="77777777" w:rsidR="00A432A8" w:rsidRPr="001C7B85" w:rsidRDefault="001C7B85">
      <w:pPr>
        <w:tabs>
          <w:tab w:val="left" w:pos="284"/>
        </w:tabs>
        <w:spacing w:after="0"/>
        <w:jc w:val="both"/>
      </w:pPr>
      <w:r w:rsidRPr="001C7B85">
        <w:t xml:space="preserve">7. </w:t>
      </w:r>
      <w:r w:rsidRPr="001C7B85">
        <w:tab/>
        <w:t>Statistical processin</w:t>
      </w:r>
      <w:r w:rsidRPr="001C7B85">
        <w:t>g of the obtained data</w:t>
      </w:r>
    </w:p>
    <w:p w14:paraId="641779E1" w14:textId="77777777" w:rsidR="00A432A8" w:rsidRPr="001C7B85" w:rsidRDefault="00A432A8">
      <w:pPr>
        <w:tabs>
          <w:tab w:val="left" w:pos="284"/>
        </w:tabs>
        <w:spacing w:after="0"/>
        <w:jc w:val="both"/>
      </w:pPr>
    </w:p>
    <w:p w14:paraId="641779E2" w14:textId="77777777" w:rsidR="00A432A8" w:rsidRPr="001C7B85" w:rsidRDefault="001C7B85">
      <w:pPr>
        <w:spacing w:after="0"/>
        <w:jc w:val="both"/>
      </w:pPr>
      <w:r w:rsidRPr="001C7B85">
        <w:tab/>
      </w:r>
      <w:r w:rsidRPr="001C7B85">
        <w:rPr>
          <w:b/>
        </w:rPr>
        <w:t>Research novelty</w:t>
      </w:r>
      <w:r w:rsidRPr="001C7B85">
        <w:t>:</w:t>
      </w:r>
    </w:p>
    <w:p w14:paraId="641779E3" w14:textId="77777777" w:rsidR="00A432A8" w:rsidRPr="001C7B85" w:rsidRDefault="001C7B85">
      <w:pPr>
        <w:spacing w:after="0"/>
        <w:jc w:val="both"/>
      </w:pPr>
      <w:r w:rsidRPr="001C7B85">
        <w:tab/>
        <w:t>A comprehensive analysis of the intestinal microbiome in the population of elderly people and long-livers of Kazakhstan was carried out for the first time by the method of shotgun sequencing, which allowed to ide</w:t>
      </w:r>
      <w:r w:rsidRPr="001C7B85">
        <w:t>ntify the features of microbiome composition, functional metabolic pathways and their age differences.</w:t>
      </w:r>
    </w:p>
    <w:p w14:paraId="641779E4" w14:textId="77777777" w:rsidR="00A432A8" w:rsidRPr="001C7B85" w:rsidRDefault="001C7B85">
      <w:pPr>
        <w:spacing w:after="0"/>
        <w:ind w:firstLine="708"/>
        <w:jc w:val="both"/>
      </w:pPr>
      <w:r w:rsidRPr="001C7B85">
        <w:lastRenderedPageBreak/>
        <w:t>For the first time a comprehensive immunologic assessment of long-livers of Kazakhstan was performed, including indicators of local and systemic immune r</w:t>
      </w:r>
      <w:r w:rsidRPr="001C7B85">
        <w:t>esponse in correlation with microbiotic and metabolic parameters.</w:t>
      </w:r>
    </w:p>
    <w:p w14:paraId="641779E5" w14:textId="77777777" w:rsidR="00A432A8" w:rsidRPr="001C7B85" w:rsidRDefault="001C7B85">
      <w:pPr>
        <w:spacing w:after="0"/>
        <w:ind w:firstLine="708"/>
        <w:jc w:val="both"/>
      </w:pPr>
      <w:r w:rsidRPr="001C7B85">
        <w:t xml:space="preserve">The interaction of immune, nutritional, microbiotic and geriatric (functional) indicators of elderly people and long-livers of Kazakhstan was characterized for the first time, which allowed </w:t>
      </w:r>
      <w:r w:rsidRPr="001C7B85">
        <w:t>to identify integrative biomarkers of aging.</w:t>
      </w:r>
    </w:p>
    <w:p w14:paraId="641779E6" w14:textId="77777777" w:rsidR="00A432A8" w:rsidRPr="001C7B85" w:rsidRDefault="00A432A8">
      <w:pPr>
        <w:spacing w:after="0"/>
        <w:ind w:firstLine="708"/>
        <w:jc w:val="both"/>
      </w:pPr>
    </w:p>
    <w:p w14:paraId="641779E7" w14:textId="77777777" w:rsidR="00A432A8" w:rsidRPr="001C7B85" w:rsidRDefault="001C7B85">
      <w:pPr>
        <w:spacing w:after="0"/>
        <w:ind w:firstLine="708"/>
        <w:jc w:val="both"/>
      </w:pPr>
      <w:r w:rsidRPr="001C7B85">
        <w:rPr>
          <w:b/>
        </w:rPr>
        <w:t>Key Findings Presented for Defense</w:t>
      </w:r>
      <w:r w:rsidRPr="001C7B85">
        <w:t>:</w:t>
      </w:r>
    </w:p>
    <w:p w14:paraId="641779E8" w14:textId="77777777" w:rsidR="00A432A8" w:rsidRPr="001C7B85" w:rsidRDefault="001C7B85">
      <w:pPr>
        <w:spacing w:after="0"/>
        <w:jc w:val="both"/>
      </w:pPr>
      <w:r w:rsidRPr="001C7B85">
        <w:t>1. Geriatric assessment revealed the presence of asthenia, sarcopenia, decreased physical activity, and varying degrees of care dependence in the centenarian group. The study found differences in laboratory parameters such as hemoglobin, glucose, vitamin D</w:t>
      </w:r>
      <w:r w:rsidRPr="001C7B85">
        <w:t>, and renal function between the compared groups.</w:t>
      </w:r>
    </w:p>
    <w:p w14:paraId="641779E9" w14:textId="77777777" w:rsidR="00A432A8" w:rsidRPr="001C7B85" w:rsidRDefault="001C7B85">
      <w:pPr>
        <w:spacing w:after="0"/>
        <w:jc w:val="both"/>
      </w:pPr>
      <w:r w:rsidRPr="001C7B85">
        <w:t>2. Long-livers have a more diverse and rich composition of intestinal microbiota: both due to putrefactive microflora and co-induction of conditionally protective genera. The microbiota of long-livers is ch</w:t>
      </w:r>
      <w:r w:rsidRPr="001C7B85">
        <w:t>aracterized by a decrease in the activity of carbohydrate, amino acid and nucleotide metabolism, with a simultaneous increase in lipid metabolism pathways (including butyrate synthesis) and biotin biosynthesis.</w:t>
      </w:r>
    </w:p>
    <w:p w14:paraId="641779EA" w14:textId="77777777" w:rsidR="00A432A8" w:rsidRPr="001C7B85" w:rsidRDefault="001C7B85">
      <w:pPr>
        <w:spacing w:after="0"/>
        <w:jc w:val="both"/>
      </w:pPr>
      <w:r w:rsidRPr="001C7B85">
        <w:t>3. Chronic inflammation in centenarians is ac</w:t>
      </w:r>
      <w:r w:rsidRPr="001C7B85">
        <w:t>companied by compensatory activation of anti-inflammatory cytokines and growth factors, reflecting the adaptation of vascular and immune regulation in aging.</w:t>
      </w:r>
    </w:p>
    <w:p w14:paraId="641779EB" w14:textId="77777777" w:rsidR="00A432A8" w:rsidRPr="001C7B85" w:rsidRDefault="001C7B85">
      <w:pPr>
        <w:spacing w:after="0"/>
        <w:jc w:val="both"/>
      </w:pPr>
      <w:r w:rsidRPr="001C7B85">
        <w:t>4. The established correlations between the microbiome, immune and clinical laboratory parameters indicate their interdependence and joint influence on the metabolic and functional state of the body in old age.</w:t>
      </w:r>
    </w:p>
    <w:p w14:paraId="641779EC" w14:textId="77777777" w:rsidR="00A432A8" w:rsidRPr="001C7B85" w:rsidRDefault="001C7B85">
      <w:pPr>
        <w:spacing w:after="0"/>
        <w:jc w:val="both"/>
      </w:pPr>
      <w:r w:rsidRPr="001C7B85">
        <w:t xml:space="preserve">5. The developed algorithm for assessing and </w:t>
      </w:r>
      <w:r w:rsidRPr="001C7B85">
        <w:t>monitoring the condition of elderly people and practical recommendations will improve assistance and early diagnosis of dysmetabolic conditions in long-livers.</w:t>
      </w:r>
    </w:p>
    <w:p w14:paraId="641779ED" w14:textId="77777777" w:rsidR="00A432A8" w:rsidRPr="001C7B85" w:rsidRDefault="001C7B85">
      <w:pPr>
        <w:spacing w:after="0"/>
        <w:jc w:val="both"/>
      </w:pPr>
      <w:r w:rsidRPr="001C7B85">
        <w:tab/>
      </w:r>
      <w:r w:rsidRPr="001C7B85">
        <w:rPr>
          <w:b/>
        </w:rPr>
        <w:t>Practical significance</w:t>
      </w:r>
      <w:r w:rsidRPr="001C7B85">
        <w:t>:</w:t>
      </w:r>
    </w:p>
    <w:p w14:paraId="641779EE" w14:textId="77777777" w:rsidR="00A432A8" w:rsidRPr="001C7B85" w:rsidRDefault="001C7B85">
      <w:pPr>
        <w:spacing w:after="0"/>
        <w:jc w:val="both"/>
      </w:pPr>
      <w:r w:rsidRPr="001C7B85">
        <w:t>1. An algorithm based on the obtained results of the original study for</w:t>
      </w:r>
      <w:r w:rsidRPr="001C7B85">
        <w:t xml:space="preserve"> assessing and monitoring the condition of elderly people was developed, including microbiotic, immune, metabolic and functional indicators, which provides the possibility of early diagnosis of age-associated disorders and targeted monitoring of patients i</w:t>
      </w:r>
      <w:r w:rsidRPr="001C7B85">
        <w:t>n geriatric practice.</w:t>
      </w:r>
    </w:p>
    <w:p w14:paraId="641779EF" w14:textId="77777777" w:rsidR="00A432A8" w:rsidRPr="001C7B85" w:rsidRDefault="001C7B85">
      <w:pPr>
        <w:spacing w:after="0"/>
        <w:jc w:val="both"/>
      </w:pPr>
      <w:r w:rsidRPr="001C7B85">
        <w:t>2. Differentiated monitoring of elderly people at risk is justified based on a comprehensive assessment of the composition of the intestinal microbiota, immune parameters, metabolic markers and functional status.</w:t>
      </w:r>
    </w:p>
    <w:p w14:paraId="641779F0" w14:textId="77777777" w:rsidR="00A432A8" w:rsidRPr="001C7B85" w:rsidRDefault="001C7B85">
      <w:pPr>
        <w:spacing w:after="0"/>
        <w:jc w:val="both"/>
      </w:pPr>
      <w:r w:rsidRPr="001C7B85">
        <w:t>3. It has been establ</w:t>
      </w:r>
      <w:r w:rsidRPr="001C7B85">
        <w:t>ished that microbiotic and immune characteristics can be used as biomarkers of aging, which makes it possible to develop treatment and preventive strategies, including nutritional correction and microbiome-modulating therapy.</w:t>
      </w:r>
    </w:p>
    <w:p w14:paraId="641779F1" w14:textId="77777777" w:rsidR="00A432A8" w:rsidRPr="001C7B85" w:rsidRDefault="001C7B85">
      <w:pPr>
        <w:spacing w:after="0"/>
        <w:jc w:val="both"/>
      </w:pPr>
      <w:r w:rsidRPr="001C7B85">
        <w:t>4. The developed practical rec</w:t>
      </w:r>
      <w:r w:rsidRPr="001C7B85">
        <w:t>ommendations for healthy longevity “The role of primary health care in healthy aging of the population and improving the quality of life of elderly patients” have been introduced into the educational program for training family doctors and gerontologists.</w:t>
      </w:r>
    </w:p>
    <w:p w14:paraId="641779F2" w14:textId="77777777" w:rsidR="00A432A8" w:rsidRPr="001C7B85" w:rsidRDefault="00A432A8">
      <w:pPr>
        <w:spacing w:after="0"/>
        <w:jc w:val="both"/>
      </w:pPr>
    </w:p>
    <w:p w14:paraId="641779F3" w14:textId="77777777" w:rsidR="00A432A8" w:rsidRPr="001C7B85" w:rsidRDefault="001C7B85">
      <w:pPr>
        <w:spacing w:after="0"/>
        <w:jc w:val="both"/>
        <w:rPr>
          <w:b/>
        </w:rPr>
      </w:pPr>
      <w:r w:rsidRPr="001C7B85">
        <w:tab/>
      </w:r>
      <w:r w:rsidRPr="001C7B85">
        <w:rPr>
          <w:b/>
        </w:rPr>
        <w:t>Author's Contribution to the Research:</w:t>
      </w:r>
    </w:p>
    <w:p w14:paraId="641779F4" w14:textId="77777777" w:rsidR="00A432A8" w:rsidRPr="001C7B85" w:rsidRDefault="001C7B85">
      <w:pPr>
        <w:spacing w:after="0"/>
        <w:jc w:val="both"/>
      </w:pPr>
      <w:r w:rsidRPr="001C7B85">
        <w:rPr>
          <w:b/>
        </w:rPr>
        <w:lastRenderedPageBreak/>
        <w:tab/>
      </w:r>
      <w:r w:rsidRPr="001C7B85">
        <w:t>Throughout the study, the graduate student participated in the formulation of the topic, goal, objectives of the study, developed the research methodology, conducted the recruitment of respondents, independently co</w:t>
      </w:r>
      <w:r w:rsidRPr="001C7B85">
        <w:t>nducted a search for literature data on the topic of the dissertation, wrote the chapters of the dissertation, collected and summarized the results of the work. The author also conducted interpretation of clinical and laboratory, functional, immunologic da</w:t>
      </w:r>
      <w:r w:rsidRPr="001C7B85">
        <w:t>ta. The author prepared and published the results of research in journals recommended by the Committee for Control in the field of education and science of the Ministry of Education and Science of the Republic of Kazakhstan and foreign editions, there were</w:t>
      </w:r>
      <w:r w:rsidRPr="001C7B85">
        <w:t xml:space="preserve"> speeches at international scientific-practical conferences. The results of the dissertation work are implemented in the practice of GP № 10, prepared a training manual.</w:t>
      </w:r>
    </w:p>
    <w:p w14:paraId="641779F5" w14:textId="77777777" w:rsidR="00A432A8" w:rsidRPr="001C7B85" w:rsidRDefault="00A432A8">
      <w:pPr>
        <w:spacing w:after="0"/>
        <w:jc w:val="both"/>
      </w:pPr>
    </w:p>
    <w:p w14:paraId="641779F6" w14:textId="77777777" w:rsidR="00A432A8" w:rsidRPr="001C7B85" w:rsidRDefault="001C7B85">
      <w:pPr>
        <w:spacing w:after="0"/>
        <w:ind w:firstLine="708"/>
        <w:jc w:val="both"/>
        <w:rPr>
          <w:b/>
        </w:rPr>
      </w:pPr>
      <w:r w:rsidRPr="001C7B85">
        <w:rPr>
          <w:b/>
        </w:rPr>
        <w:t>Publications Related to the Dissertation Topic:</w:t>
      </w:r>
    </w:p>
    <w:p w14:paraId="641779F7" w14:textId="77777777" w:rsidR="00A432A8" w:rsidRPr="001C7B85" w:rsidRDefault="001C7B85">
      <w:pPr>
        <w:spacing w:after="0"/>
        <w:ind w:firstLine="708"/>
        <w:jc w:val="both"/>
      </w:pPr>
      <w:r w:rsidRPr="001C7B85">
        <w:t>The total of 8 scientific papers on t</w:t>
      </w:r>
      <w:r w:rsidRPr="001C7B85">
        <w:t xml:space="preserve">he subject of dissertation research have been published, including 1 publication in the journal indexed by Scopus database (Q2), including 3 publications in the editions recommended by the Committee for Quality Assurance in Science and Higher Education of </w:t>
      </w:r>
      <w:r w:rsidRPr="001C7B85">
        <w:t>the Ministry of Science and Higher Education of the Republic of Kazakhstan, 4 abstracts in the collections of international conferences. Two certificates of state registration of rights to the object of copyright of the Republic of Kazakhstan, 5 acts of in</w:t>
      </w:r>
      <w:r w:rsidRPr="001C7B85">
        <w:t>troduction of new technology (innovation) in the activities of practical health care organizations were received, a textbook was published.</w:t>
      </w:r>
    </w:p>
    <w:p w14:paraId="641779F8" w14:textId="77777777" w:rsidR="00A432A8" w:rsidRPr="001C7B85" w:rsidRDefault="00A432A8">
      <w:pPr>
        <w:spacing w:after="0"/>
        <w:ind w:firstLine="708"/>
        <w:jc w:val="both"/>
      </w:pPr>
    </w:p>
    <w:p w14:paraId="641779F9" w14:textId="77777777" w:rsidR="00A432A8" w:rsidRPr="001C7B85" w:rsidRDefault="001C7B85">
      <w:pPr>
        <w:spacing w:after="0"/>
        <w:ind w:firstLine="708"/>
        <w:jc w:val="both"/>
        <w:rPr>
          <w:b/>
        </w:rPr>
      </w:pPr>
      <w:r w:rsidRPr="001C7B85">
        <w:rPr>
          <w:b/>
        </w:rPr>
        <w:t>Conclusions Drawn from the Study:</w:t>
      </w:r>
    </w:p>
    <w:p w14:paraId="641779FA" w14:textId="77777777" w:rsidR="00A432A8" w:rsidRPr="001C7B85" w:rsidRDefault="001C7B85">
      <w:pPr>
        <w:spacing w:after="0"/>
        <w:jc w:val="both"/>
      </w:pPr>
      <w:r w:rsidRPr="001C7B85">
        <w:t>1. The following was revealed in the group of centenarians: normochromic anemia (</w:t>
      </w:r>
      <w:r w:rsidRPr="001C7B85">
        <w:t>Hb 110.3±9.4 CI [103.0 - 120.0] g/l) in 56.5%, fasting hypoglycemia in 60% (4.6±1.3 CI [4.0 - 4.8] mmol/l), severe vitamin D deficiency in 85% (9.6 CI [5.8-15.4] nmol/l) and hypercholesterolemia in 32.6% (4.85 CI [3.88-5.64] mmol/l), as well as decreased r</w:t>
      </w:r>
      <w:r w:rsidRPr="001C7B85">
        <w:t>enal function (SCF 73 CI [55-80] ml/min/1.73 m²) compared to the control group 94.77 ± 15.67 CI [90.31-99.23] ml/min/1.73m². Each unit increase in creatinine significantly increased the risk of anemia (OR=1.105; 95% CI [1–1.221]). Statistically significant</w:t>
      </w:r>
      <w:r w:rsidRPr="001C7B85">
        <w:t xml:space="preserve"> differences in the lipid profile were found in patients with normal protein levels and protein deficiency. In the group of patients with normal protein levels, the total value of cholesterol, HDL, and LDL was higher than in the group with protein deficien</w:t>
      </w:r>
      <w:r w:rsidRPr="001C7B85">
        <w:t>cy (p=0.001; p=0.023; p=0.013, respectively).</w:t>
      </w:r>
    </w:p>
    <w:p w14:paraId="641779FB" w14:textId="77777777" w:rsidR="00A432A8" w:rsidRPr="001C7B85" w:rsidRDefault="001C7B85">
      <w:pPr>
        <w:spacing w:after="0"/>
        <w:jc w:val="both"/>
      </w:pPr>
      <w:sdt>
        <w:sdtPr>
          <w:tag w:val="goog_rdk_0"/>
          <w:id w:val="655327558"/>
        </w:sdtPr>
        <w:sdtEndPr/>
        <w:sdtContent>
          <w:r w:rsidRPr="001C7B85">
            <w:rPr>
              <w:rFonts w:ascii="Gungsuh" w:eastAsia="Gungsuh" w:hAnsi="Gungsuh" w:cs="Gungsuh"/>
            </w:rPr>
            <w:t>2. Geriatric assessment in the group of long-livers showed the prevalence of asthenia in 65.2% of respondents, sarcopenia in 45.7%, functional dependence and complete need for care in all long-livers, which con</w:t>
          </w:r>
          <w:r w:rsidRPr="001C7B85">
            <w:rPr>
              <w:rFonts w:ascii="Gungsuh" w:eastAsia="Gungsuh" w:hAnsi="Gungsuh" w:cs="Gungsuh"/>
            </w:rPr>
            <w:t>trasted with the data of the control group (p≤0.001). The obtained data indicate a decrease in the metabolic and functional activity of the body in the group of long-livers.</w:t>
          </w:r>
        </w:sdtContent>
      </w:sdt>
    </w:p>
    <w:p w14:paraId="641779FC" w14:textId="77777777" w:rsidR="00A432A8" w:rsidRPr="001C7B85" w:rsidRDefault="001C7B85">
      <w:pPr>
        <w:spacing w:after="0"/>
        <w:jc w:val="both"/>
      </w:pPr>
      <w:r w:rsidRPr="001C7B85">
        <w:t>3. The centenarians showed a higher alpha diversity of the intestinal microbiota</w:t>
      </w:r>
      <w:r w:rsidRPr="001C7B85">
        <w:t xml:space="preserve"> according to the Shannon (p=1.19E-07) and Simpson (p=1.88E-07) indices compared to the control group, indicating a general increase in species richness and dominance of the microbial community. Principal coordinates analysis (PCoA) </w:t>
      </w:r>
      <w:r w:rsidRPr="001C7B85">
        <w:lastRenderedPageBreak/>
        <w:t>showed significant diff</w:t>
      </w:r>
      <w:r w:rsidRPr="001C7B85">
        <w:t xml:space="preserve">erences in the taxonomic composition of the microbiota between the groups (ANOSIM, R=0.37, p=0.0001), also confirmed by the EnvFit test (p&lt;0.01), where the genera </w:t>
      </w:r>
      <w:r w:rsidRPr="001C7B85">
        <w:rPr>
          <w:i/>
        </w:rPr>
        <w:t>Bacteroides</w:t>
      </w:r>
      <w:r w:rsidRPr="001C7B85">
        <w:t xml:space="preserve">, </w:t>
      </w:r>
      <w:r w:rsidRPr="001C7B85">
        <w:rPr>
          <w:i/>
        </w:rPr>
        <w:t>Alistipes</w:t>
      </w:r>
      <w:r w:rsidRPr="001C7B85">
        <w:t xml:space="preserve">, </w:t>
      </w:r>
      <w:r w:rsidRPr="001C7B85">
        <w:rPr>
          <w:i/>
        </w:rPr>
        <w:t>Escherichia</w:t>
      </w:r>
      <w:r w:rsidRPr="001C7B85">
        <w:t xml:space="preserve"> and </w:t>
      </w:r>
      <w:r w:rsidRPr="001C7B85">
        <w:rPr>
          <w:i/>
        </w:rPr>
        <w:t>Clostridium</w:t>
      </w:r>
      <w:r w:rsidRPr="001C7B85">
        <w:t xml:space="preserve"> were associated with the cluster of cente</w:t>
      </w:r>
      <w:r w:rsidRPr="001C7B85">
        <w:t xml:space="preserve">narians, and the genera </w:t>
      </w:r>
      <w:r w:rsidRPr="001C7B85">
        <w:rPr>
          <w:i/>
        </w:rPr>
        <w:t>Faecalibacterium</w:t>
      </w:r>
      <w:r w:rsidRPr="001C7B85">
        <w:t xml:space="preserve">, </w:t>
      </w:r>
      <w:r w:rsidRPr="001C7B85">
        <w:rPr>
          <w:i/>
        </w:rPr>
        <w:t>Roseburia</w:t>
      </w:r>
      <w:r w:rsidRPr="001C7B85">
        <w:t xml:space="preserve">, </w:t>
      </w:r>
      <w:r w:rsidRPr="001C7B85">
        <w:rPr>
          <w:i/>
        </w:rPr>
        <w:t>Dorea</w:t>
      </w:r>
      <w:r w:rsidRPr="001C7B85">
        <w:t xml:space="preserve">, </w:t>
      </w:r>
      <w:r w:rsidRPr="001C7B85">
        <w:rPr>
          <w:i/>
        </w:rPr>
        <w:t>Blautia</w:t>
      </w:r>
      <w:r w:rsidRPr="001C7B85">
        <w:t xml:space="preserve"> - with the control group. Functional metagenomic analysis showed a decrease in amino acid and nitrogenous base biosynthesis pathways in centenarians, as well as an increase in fatty acid m</w:t>
      </w:r>
      <w:r w:rsidRPr="001C7B85">
        <w:t xml:space="preserve">etabolism pathways (ANOVA, p&lt;0.05), which may indicate adaptation of the microbiota to alternative energy sources. Significant enrichment of biotin biosynthesis gene pathways was noted in centenarians (p&lt;0.05). These differences may explain the functional </w:t>
      </w:r>
      <w:r w:rsidRPr="001C7B85">
        <w:t>features of the microbiota in aging condition.</w:t>
      </w:r>
    </w:p>
    <w:p w14:paraId="641779FD" w14:textId="77777777" w:rsidR="00A432A8" w:rsidRPr="001C7B85" w:rsidRDefault="001C7B85">
      <w:pPr>
        <w:spacing w:after="0"/>
        <w:jc w:val="both"/>
      </w:pPr>
      <w:r w:rsidRPr="001C7B85">
        <w:t>4.</w:t>
      </w:r>
      <w:r w:rsidRPr="001C7B85">
        <w:t xml:space="preserve"> C</w:t>
      </w:r>
      <w:r w:rsidRPr="001C7B85">
        <w:t xml:space="preserve">ompared to the control group, a significant increase in proinflammatory cytokines was revealed in centenarians: IL-1α by 7.9 times (p = 0.00001), IL-6 by 11.8 times (p = 0.00001), IL-12 (p70) by 4.6 times </w:t>
      </w:r>
      <w:r w:rsidRPr="001C7B85">
        <w:t>(p = 0.00001), IP-10 by 2.8 times (p = 0.00001), IFN-α2 by 2.6 times (p = 0.00001), IL-15 by 2 times (p = 0.00672), TNF-α by 1.2 times (p = 0.04906); chemokines: MIP-1α/CCL3 by 2.2 times (p=0.00044), MIP-1β/CCL4 by 1.4 times (p&lt;0.001), MCP-3/CCL7 by 2.9 ti</w:t>
      </w:r>
      <w:r w:rsidRPr="001C7B85">
        <w:t>mes (p=0.00333), MDC/CCL22 by 8.4 times (p&lt;0.001); anti-inflammatory cytokines: IL-1RA by 1.3 times (p=0.00044), IL-4 by 12.4 times (p=0.00001), IL-5 by 4 times (p=0.00001), FLT-3L by 13.9 times (p=0.00001); as well as growth factors: EGF by 6.1 times (p=0</w:t>
      </w:r>
      <w:r w:rsidRPr="001C7B85">
        <w:t>.00001), GM-CSF by 3.7 times (p&lt;0.001), VEGF-A by 18.3 times (p=0.00001), which reflects the simultaneous activation of pro-inflammatory mechanisms, accompanied by a compensatory increase in a number of anti-inflammatory factors.</w:t>
      </w:r>
    </w:p>
    <w:p w14:paraId="641779FE" w14:textId="77777777" w:rsidR="00A432A8" w:rsidRPr="001C7B85" w:rsidRDefault="001C7B85">
      <w:pPr>
        <w:spacing w:after="0"/>
        <w:jc w:val="both"/>
      </w:pPr>
      <w:r w:rsidRPr="001C7B85">
        <w:t>5.</w:t>
      </w:r>
      <w:r w:rsidRPr="001C7B85">
        <w:t xml:space="preserve"> </w:t>
      </w:r>
      <w:r w:rsidRPr="001C7B85">
        <w:t>Significant correlation</w:t>
      </w:r>
      <w:r w:rsidRPr="001C7B85">
        <w:t>s were established in centenarians: MIP-1β positively correlated with blood pressure indicators (p=0.031, ρ=0.467), VEGF-A (p=0.0003, ρ=0.605) and IP-10 (p=0.038, ρ=0.406); VEGF-A and EGF (p=0.0003, ρ=0.594); IL-1α with intestinal MDC (p=0.045, ρ=0.396) an</w:t>
      </w:r>
      <w:r w:rsidRPr="001C7B85">
        <w:t>d IL-15 (p=0.029, ρ=0.414); intestinal IL-6 negatively correlated with GM-CSF (p=0.048, ρ=-0.422). MCP-1, TNF-α and TNF-β were positively associated with the FRAIL scale (respectively p=0.018, ρ=0.347; p=0.049, ρ=0.292; p=0.006, ρ=0.402), and IL-1RA (p=0.0</w:t>
      </w:r>
      <w:r w:rsidRPr="001C7B85">
        <w:t xml:space="preserve">41, ρ=0.320), MIP-1α (p=0.045, ρ=0.297) and TNF-β (p=0.015, ρ=0.359) with the SARC-F scale. </w:t>
      </w:r>
      <w:r w:rsidRPr="001C7B85">
        <w:rPr>
          <w:i/>
        </w:rPr>
        <w:t>Escherichia</w:t>
      </w:r>
      <w:r w:rsidRPr="001C7B85">
        <w:t xml:space="preserve"> was positively associated with the P461-PWY, SALVADEHYPOX-PWY, PWY-6608 pathways and negatively with PWY-7357; </w:t>
      </w:r>
      <w:r w:rsidRPr="001C7B85">
        <w:rPr>
          <w:i/>
        </w:rPr>
        <w:t>Dorea</w:t>
      </w:r>
      <w:r w:rsidRPr="001C7B85">
        <w:t xml:space="preserve"> was positive with PWY-7357; </w:t>
      </w:r>
      <w:r w:rsidRPr="001C7B85">
        <w:rPr>
          <w:i/>
        </w:rPr>
        <w:t>Fusicat</w:t>
      </w:r>
      <w:r w:rsidRPr="001C7B85">
        <w:rPr>
          <w:i/>
        </w:rPr>
        <w:t>enibacter</w:t>
      </w:r>
      <w:sdt>
        <w:sdtPr>
          <w:tag w:val="goog_rdk_1"/>
          <w:id w:val="-1277075482"/>
        </w:sdtPr>
        <w:sdtEndPr/>
        <w:sdtContent>
          <w:r w:rsidRPr="001C7B85">
            <w:rPr>
              <w:rFonts w:ascii="Gungsuh" w:eastAsia="Gungsuh" w:hAnsi="Gungsuh" w:cs="Gungsuh"/>
            </w:rPr>
            <w:t xml:space="preserve"> - with PWY-7357, PWY-6151, GLYCOGENSYNTH-PWY (p≤0.05); TNF-α, IL-1α and GM-CSF were positively associated with adenosine and guanosine breakdown (p=0.008, ρ=0.481), IL-1α with L-valine synthesis (p=0.028, ρ=0.424), GM-CSF was negatively associate</w:t>
          </w:r>
          <w:r w:rsidRPr="001C7B85">
            <w:rPr>
              <w:rFonts w:ascii="Gungsuh" w:eastAsia="Gungsuh" w:hAnsi="Gungsuh" w:cs="Gungsuh"/>
            </w:rPr>
            <w:t xml:space="preserve">d with S-adenosyl-L-methionine reduction (p=0.043, ρ=-0.434), MDC with GLYCOGENSYNTH-PWY (p=0.028, ρ=0.416), IL-15 with S-adenosyl-L-methionine synthesis (p=0.001, ρ=0.555), MCP-3 was negatively associated with vitamin B5 synthesis (p=0.026, ρ=-0.42). </w:t>
          </w:r>
        </w:sdtContent>
      </w:sdt>
      <w:r w:rsidRPr="001C7B85">
        <w:rPr>
          <w:i/>
        </w:rPr>
        <w:t>Es</w:t>
      </w:r>
      <w:r w:rsidRPr="001C7B85">
        <w:rPr>
          <w:i/>
        </w:rPr>
        <w:t>cherichia</w:t>
      </w:r>
      <w:r w:rsidRPr="001C7B85">
        <w:t xml:space="preserve"> correlates positively with FLT-3L, EGF, IL-4 and TNFα, </w:t>
      </w:r>
      <w:r w:rsidRPr="001C7B85">
        <w:rPr>
          <w:i/>
        </w:rPr>
        <w:t>Odoribacter</w:t>
      </w:r>
      <w:r w:rsidRPr="001C7B85">
        <w:t xml:space="preserve"> - with IL-15, IL-1α, IFNα2 and negatively with EGF, </w:t>
      </w:r>
      <w:r w:rsidRPr="001C7B85">
        <w:rPr>
          <w:i/>
        </w:rPr>
        <w:t>Parabacteroides</w:t>
      </w:r>
      <w:r w:rsidRPr="001C7B85">
        <w:t xml:space="preserve"> - with IFNα2 and negatively with IL-15 and MIP-1β, </w:t>
      </w:r>
      <w:r w:rsidRPr="001C7B85">
        <w:rPr>
          <w:i/>
        </w:rPr>
        <w:t>Alistipes</w:t>
      </w:r>
      <w:r w:rsidRPr="001C7B85">
        <w:t xml:space="preserve"> - with IL-4, </w:t>
      </w:r>
      <w:r w:rsidRPr="001C7B85">
        <w:rPr>
          <w:i/>
        </w:rPr>
        <w:t>Bacteroides</w:t>
      </w:r>
      <w:r w:rsidRPr="001C7B85">
        <w:t xml:space="preserve"> - with IL-15, MIP-1β - with IL-1RA; </w:t>
      </w:r>
      <w:r w:rsidRPr="001C7B85">
        <w:rPr>
          <w:i/>
        </w:rPr>
        <w:lastRenderedPageBreak/>
        <w:t>Odoribacter</w:t>
      </w:r>
      <w:r w:rsidRPr="001C7B85">
        <w:t xml:space="preserve">, </w:t>
      </w:r>
      <w:r w:rsidRPr="001C7B85">
        <w:rPr>
          <w:i/>
        </w:rPr>
        <w:t>Eubacterium</w:t>
      </w:r>
      <w:r w:rsidRPr="001C7B85">
        <w:t xml:space="preserve">, </w:t>
      </w:r>
      <w:r w:rsidRPr="001C7B85">
        <w:rPr>
          <w:i/>
        </w:rPr>
        <w:t>Oscillibacter</w:t>
      </w:r>
      <w:r w:rsidRPr="001C7B85">
        <w:t xml:space="preserve">, </w:t>
      </w:r>
      <w:r w:rsidRPr="001C7B85">
        <w:rPr>
          <w:i/>
        </w:rPr>
        <w:t>Bacteroides</w:t>
      </w:r>
      <w:r w:rsidRPr="001C7B85">
        <w:t xml:space="preserve"> and </w:t>
      </w:r>
      <w:r w:rsidRPr="001C7B85">
        <w:rPr>
          <w:i/>
        </w:rPr>
        <w:t>Alistipes</w:t>
      </w:r>
      <w:r w:rsidRPr="001C7B85">
        <w:t xml:space="preserve"> genera were positively associated with fecal cytokines, while </w:t>
      </w:r>
      <w:r w:rsidRPr="001C7B85">
        <w:rPr>
          <w:i/>
        </w:rPr>
        <w:t>Clostridium</w:t>
      </w:r>
      <w:r w:rsidRPr="001C7B85">
        <w:t xml:space="preserve"> and </w:t>
      </w:r>
      <w:r w:rsidRPr="001C7B85">
        <w:rPr>
          <w:i/>
        </w:rPr>
        <w:t>Ruthenibacterium</w:t>
      </w:r>
      <w:sdt>
        <w:sdtPr>
          <w:tag w:val="goog_rdk_2"/>
          <w:id w:val="633938355"/>
        </w:sdtPr>
        <w:sdtEndPr/>
        <w:sdtContent>
          <w:r w:rsidRPr="001C7B85">
            <w:rPr>
              <w:rFonts w:ascii="Cardo" w:eastAsia="Cardo" w:hAnsi="Cardo" w:cs="Cardo"/>
            </w:rPr>
            <w:t xml:space="preserve"> were negatively associated with IL-15, VEGF-A, MDC, IL-6,</w:t>
          </w:r>
          <w:r w:rsidRPr="001C7B85">
            <w:rPr>
              <w:rFonts w:ascii="Cardo" w:eastAsia="Cardo" w:hAnsi="Cardo" w:cs="Cardo"/>
            </w:rPr>
            <w:t xml:space="preserve"> IL-4, TNFα, IP-10 and MCP-3 (p≤0.001), indicating a close and multicomponent relationship between the immune system, gut microbiota and metabolic pathways.</w:t>
          </w:r>
        </w:sdtContent>
      </w:sdt>
    </w:p>
    <w:p w14:paraId="641779FF" w14:textId="77777777" w:rsidR="00A432A8" w:rsidRPr="001C7B85" w:rsidRDefault="001C7B85">
      <w:pPr>
        <w:spacing w:after="0"/>
        <w:jc w:val="both"/>
      </w:pPr>
      <w:r w:rsidRPr="001C7B85">
        <w:t>6. Based on the results of the study, an algorithm for monitoring the condition of elderly people</w:t>
      </w:r>
      <w:r w:rsidRPr="001C7B85">
        <w:t xml:space="preserve"> has been developed. It is advisable to supplement extended geriatric screening with an analysis of intestinal microbiota, metabolites and immunomarkers in the elderly with signs of metabolic and functional disorders. The implementation of practical recomm</w:t>
      </w:r>
      <w:r w:rsidRPr="001C7B85">
        <w:t>endations for healthy longevity will help improve the quality of life of the elderly population.</w:t>
      </w:r>
    </w:p>
    <w:p w14:paraId="64177A00" w14:textId="77777777" w:rsidR="00A432A8" w:rsidRPr="001C7B85" w:rsidRDefault="00A432A8">
      <w:pPr>
        <w:spacing w:after="0"/>
        <w:jc w:val="both"/>
      </w:pPr>
      <w:bookmarkStart w:id="1" w:name="_heading=h.ait6f1jwa7pj" w:colFirst="0" w:colLast="0"/>
      <w:bookmarkEnd w:id="1"/>
    </w:p>
    <w:p w14:paraId="64177A01" w14:textId="77777777" w:rsidR="00A432A8" w:rsidRPr="001C7B85" w:rsidRDefault="001C7B85">
      <w:pPr>
        <w:spacing w:after="0"/>
        <w:jc w:val="both"/>
      </w:pPr>
      <w:r w:rsidRPr="001C7B85">
        <w:tab/>
      </w:r>
      <w:r w:rsidRPr="001C7B85">
        <w:rPr>
          <w:b/>
        </w:rPr>
        <w:t>Practical recommendations</w:t>
      </w:r>
      <w:r w:rsidRPr="001C7B85">
        <w:t>:</w:t>
      </w:r>
    </w:p>
    <w:p w14:paraId="64177A02" w14:textId="77777777" w:rsidR="00A432A8" w:rsidRPr="001C7B85" w:rsidRDefault="001C7B85">
      <w:pPr>
        <w:spacing w:after="0"/>
        <w:jc w:val="both"/>
      </w:pPr>
      <w:r w:rsidRPr="001C7B85">
        <w:t>1. It is recommended to perform geriatric screening using the FRAIL, SARC-F, IADL and Barthel scales and assessment of nutritional</w:t>
      </w:r>
      <w:r w:rsidRPr="001C7B85">
        <w:t xml:space="preserve"> status in elderly patients.</w:t>
      </w:r>
    </w:p>
    <w:p w14:paraId="64177A03" w14:textId="77777777" w:rsidR="00A432A8" w:rsidRPr="001C7B85" w:rsidRDefault="001C7B85">
      <w:pPr>
        <w:spacing w:after="0"/>
        <w:jc w:val="both"/>
      </w:pPr>
      <w:r w:rsidRPr="001C7B85">
        <w:t>2. It is recommended to include gut microbiome analysis (including metabolites) in the extended geriatric screening of older adults with signs of metabolic imbalance.</w:t>
      </w:r>
    </w:p>
    <w:p w14:paraId="64177A04" w14:textId="77777777" w:rsidR="00A432A8" w:rsidRPr="001C7B85" w:rsidRDefault="001C7B85">
      <w:pPr>
        <w:spacing w:after="0"/>
        <w:jc w:val="both"/>
      </w:pPr>
      <w:r w:rsidRPr="001C7B85">
        <w:t>3. It is recommended to include the analysis of immunomarker</w:t>
      </w:r>
      <w:r w:rsidRPr="001C7B85">
        <w:t>s - cytokines, chemokines and growth factors - in the expanded geriatric screening of elderly people with signs of decreased functional capacity.</w:t>
      </w:r>
    </w:p>
    <w:p w14:paraId="64177A05" w14:textId="77777777" w:rsidR="00A432A8" w:rsidRPr="001C7B85" w:rsidRDefault="001C7B85">
      <w:pPr>
        <w:spacing w:after="0"/>
        <w:jc w:val="both"/>
      </w:pPr>
      <w:r w:rsidRPr="001C7B85">
        <w:t>4. Based on the developed algorithm for assessing and monitoring the condition of elderly people, it is recomm</w:t>
      </w:r>
      <w:r w:rsidRPr="001C7B85">
        <w:t>ended to conduct risk stratification taking into account microbiotic, immune, metabolic, nutritional and functional parameters, which makes it possible to individualize and differentiate observation and intervention tactics.</w:t>
      </w:r>
    </w:p>
    <w:p w14:paraId="64177A06" w14:textId="77777777" w:rsidR="00A432A8" w:rsidRPr="001C7B85" w:rsidRDefault="00A432A8">
      <w:pPr>
        <w:spacing w:after="0"/>
        <w:jc w:val="both"/>
      </w:pPr>
    </w:p>
    <w:p w14:paraId="64177A07" w14:textId="77777777" w:rsidR="00A432A8" w:rsidRPr="001C7B85" w:rsidRDefault="00A432A8">
      <w:pPr>
        <w:spacing w:after="0"/>
        <w:jc w:val="both"/>
      </w:pPr>
    </w:p>
    <w:p w14:paraId="64177A08" w14:textId="77777777" w:rsidR="00A432A8" w:rsidRPr="001C7B85" w:rsidRDefault="00A432A8">
      <w:pPr>
        <w:spacing w:after="0"/>
        <w:jc w:val="both"/>
      </w:pPr>
    </w:p>
    <w:p w14:paraId="64177A09" w14:textId="77777777" w:rsidR="00A432A8" w:rsidRPr="001C7B85" w:rsidRDefault="00A432A8">
      <w:pPr>
        <w:spacing w:after="0"/>
      </w:pPr>
    </w:p>
    <w:p w14:paraId="64177A0A" w14:textId="77777777" w:rsidR="00A432A8" w:rsidRPr="001C7B85" w:rsidRDefault="00A432A8">
      <w:pPr>
        <w:spacing w:after="0"/>
      </w:pPr>
    </w:p>
    <w:p w14:paraId="64177A0B" w14:textId="77777777" w:rsidR="00A432A8" w:rsidRPr="001C7B85" w:rsidRDefault="00A432A8">
      <w:pPr>
        <w:spacing w:after="0"/>
        <w:ind w:firstLine="708"/>
      </w:pPr>
    </w:p>
    <w:sectPr w:rsidR="00A432A8" w:rsidRPr="001C7B85">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ungsuh">
    <w:altName w:val="Times New Roman"/>
    <w:charset w:val="00"/>
    <w:family w:val="auto"/>
    <w:pitch w:val="default"/>
  </w:font>
  <w:font w:name="Cardo">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A8"/>
    <w:rsid w:val="001C7B85"/>
    <w:rsid w:val="00A4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779B9"/>
  <w15:docId w15:val="{2D352424-AD34-4A7B-8FB6-56FB3A9D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ru-RU"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Calibri" w:eastAsia="Calibri" w:hAnsi="Calibri" w:cs="Calibri"/>
      <w:color w:val="2E75B5"/>
      <w:sz w:val="40"/>
      <w:szCs w:val="40"/>
    </w:rPr>
  </w:style>
  <w:style w:type="paragraph" w:styleId="2">
    <w:name w:val="heading 2"/>
    <w:basedOn w:val="a"/>
    <w:next w:val="a"/>
    <w:pPr>
      <w:keepNext/>
      <w:keepLines/>
      <w:spacing w:before="160" w:after="80"/>
      <w:outlineLvl w:val="1"/>
    </w:pPr>
    <w:rPr>
      <w:rFonts w:ascii="Calibri" w:eastAsia="Calibri" w:hAnsi="Calibri" w:cs="Calibri"/>
      <w:color w:val="2E75B5"/>
      <w:sz w:val="32"/>
      <w:szCs w:val="32"/>
    </w:rPr>
  </w:style>
  <w:style w:type="paragraph" w:styleId="3">
    <w:name w:val="heading 3"/>
    <w:basedOn w:val="a"/>
    <w:next w:val="a"/>
    <w:pPr>
      <w:keepNext/>
      <w:keepLines/>
      <w:spacing w:before="160" w:after="80"/>
      <w:outlineLvl w:val="2"/>
    </w:pPr>
    <w:rPr>
      <w:rFonts w:ascii="Calibri" w:eastAsia="Calibri" w:hAnsi="Calibri" w:cs="Calibri"/>
      <w:color w:val="2E75B5"/>
    </w:rPr>
  </w:style>
  <w:style w:type="paragraph" w:styleId="4">
    <w:name w:val="heading 4"/>
    <w:basedOn w:val="a"/>
    <w:next w:val="a"/>
    <w:pPr>
      <w:keepNext/>
      <w:keepLines/>
      <w:spacing w:before="80" w:after="40"/>
      <w:outlineLvl w:val="3"/>
    </w:pPr>
    <w:rPr>
      <w:rFonts w:ascii="Calibri" w:eastAsia="Calibri" w:hAnsi="Calibri" w:cs="Calibri"/>
      <w:i/>
      <w:color w:val="2E75B5"/>
    </w:rPr>
  </w:style>
  <w:style w:type="paragraph" w:styleId="5">
    <w:name w:val="heading 5"/>
    <w:basedOn w:val="a"/>
    <w:next w:val="a"/>
    <w:pPr>
      <w:keepNext/>
      <w:keepLines/>
      <w:spacing w:before="80" w:after="40"/>
      <w:outlineLvl w:val="4"/>
    </w:pPr>
    <w:rPr>
      <w:rFonts w:ascii="Calibri" w:eastAsia="Calibri" w:hAnsi="Calibri" w:cs="Calibri"/>
      <w:color w:val="2E75B5"/>
    </w:rPr>
  </w:style>
  <w:style w:type="paragraph" w:styleId="6">
    <w:name w:val="heading 6"/>
    <w:basedOn w:val="a"/>
    <w:next w:val="a"/>
    <w:pPr>
      <w:keepNext/>
      <w:keepLines/>
      <w:spacing w:before="40" w:after="0"/>
      <w:outlineLvl w:val="5"/>
    </w:pPr>
    <w:rPr>
      <w:rFonts w:ascii="Calibri" w:eastAsia="Calibri" w:hAnsi="Calibri" w:cs="Calibri"/>
      <w:i/>
      <w:color w:val="595959"/>
    </w:rPr>
  </w:style>
  <w:style w:type="paragraph" w:styleId="7">
    <w:name w:val="heading 7"/>
    <w:link w:val="70"/>
    <w:uiPriority w:val="9"/>
    <w:semiHidden/>
    <w:unhideWhenUsed/>
    <w:qFormat/>
    <w:rsid w:val="00AD29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link w:val="80"/>
    <w:uiPriority w:val="9"/>
    <w:semiHidden/>
    <w:unhideWhenUsed/>
    <w:qFormat/>
    <w:rsid w:val="00AD29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link w:val="90"/>
    <w:uiPriority w:val="9"/>
    <w:semiHidden/>
    <w:unhideWhenUsed/>
    <w:qFormat/>
    <w:rsid w:val="00AD29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pPr>
    <w:rPr>
      <w:rFonts w:ascii="Calibri" w:eastAsia="Calibri" w:hAnsi="Calibri" w:cs="Calibri"/>
      <w:sz w:val="56"/>
      <w:szCs w:val="56"/>
    </w:rPr>
  </w:style>
  <w:style w:type="character" w:customStyle="1" w:styleId="10">
    <w:name w:val="Заголовок 1 Знак"/>
    <w:basedOn w:val="a0"/>
    <w:uiPriority w:val="9"/>
    <w:rsid w:val="00AD29E5"/>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uiPriority w:val="9"/>
    <w:semiHidden/>
    <w:rsid w:val="00AD29E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uiPriority w:val="9"/>
    <w:semiHidden/>
    <w:rsid w:val="00AD29E5"/>
    <w:rPr>
      <w:rFonts w:eastAsiaTheme="majorEastAsia" w:cstheme="majorBidi"/>
      <w:color w:val="2E74B5" w:themeColor="accent1" w:themeShade="BF"/>
      <w:sz w:val="28"/>
      <w:szCs w:val="28"/>
    </w:rPr>
  </w:style>
  <w:style w:type="character" w:customStyle="1" w:styleId="40">
    <w:name w:val="Заголовок 4 Знак"/>
    <w:basedOn w:val="a0"/>
    <w:uiPriority w:val="9"/>
    <w:semiHidden/>
    <w:rsid w:val="00AD29E5"/>
    <w:rPr>
      <w:rFonts w:eastAsiaTheme="majorEastAsia" w:cstheme="majorBidi"/>
      <w:i/>
      <w:iCs/>
      <w:color w:val="2E74B5" w:themeColor="accent1" w:themeShade="BF"/>
      <w:sz w:val="28"/>
    </w:rPr>
  </w:style>
  <w:style w:type="character" w:customStyle="1" w:styleId="50">
    <w:name w:val="Заголовок 5 Знак"/>
    <w:basedOn w:val="a0"/>
    <w:uiPriority w:val="9"/>
    <w:semiHidden/>
    <w:rsid w:val="00AD29E5"/>
    <w:rPr>
      <w:rFonts w:eastAsiaTheme="majorEastAsia" w:cstheme="majorBidi"/>
      <w:color w:val="2E74B5" w:themeColor="accent1" w:themeShade="BF"/>
      <w:sz w:val="28"/>
    </w:rPr>
  </w:style>
  <w:style w:type="character" w:customStyle="1" w:styleId="60">
    <w:name w:val="Заголовок 6 Знак"/>
    <w:basedOn w:val="a0"/>
    <w:uiPriority w:val="9"/>
    <w:semiHidden/>
    <w:rsid w:val="00AD29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D29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D29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D29E5"/>
    <w:rPr>
      <w:rFonts w:eastAsiaTheme="majorEastAsia" w:cstheme="majorBidi"/>
      <w:color w:val="272727" w:themeColor="text1" w:themeTint="D8"/>
      <w:sz w:val="28"/>
    </w:rPr>
  </w:style>
  <w:style w:type="character" w:customStyle="1" w:styleId="a4">
    <w:name w:val="Заголовок Знак"/>
    <w:basedOn w:val="a0"/>
    <w:uiPriority w:val="10"/>
    <w:rsid w:val="00AD29E5"/>
    <w:rPr>
      <w:rFonts w:asciiTheme="majorHAnsi" w:eastAsiaTheme="majorEastAsia" w:hAnsiTheme="majorHAnsi" w:cstheme="majorBidi"/>
      <w:spacing w:val="-10"/>
      <w:kern w:val="28"/>
      <w:sz w:val="56"/>
      <w:szCs w:val="56"/>
    </w:rPr>
  </w:style>
  <w:style w:type="character" w:customStyle="1" w:styleId="a5">
    <w:name w:val="Подзаголовок Знак"/>
    <w:basedOn w:val="a0"/>
    <w:uiPriority w:val="11"/>
    <w:rsid w:val="00AD29E5"/>
    <w:rPr>
      <w:rFonts w:eastAsiaTheme="majorEastAsia" w:cstheme="majorBidi"/>
      <w:color w:val="595959" w:themeColor="text1" w:themeTint="A6"/>
      <w:spacing w:val="15"/>
      <w:sz w:val="28"/>
      <w:szCs w:val="28"/>
    </w:rPr>
  </w:style>
  <w:style w:type="paragraph" w:styleId="21">
    <w:name w:val="Quote"/>
    <w:link w:val="22"/>
    <w:uiPriority w:val="29"/>
    <w:qFormat/>
    <w:rsid w:val="00AD29E5"/>
    <w:pPr>
      <w:spacing w:before="160"/>
      <w:jc w:val="center"/>
    </w:pPr>
    <w:rPr>
      <w:i/>
      <w:iCs/>
      <w:color w:val="404040" w:themeColor="text1" w:themeTint="BF"/>
    </w:rPr>
  </w:style>
  <w:style w:type="character" w:customStyle="1" w:styleId="22">
    <w:name w:val="Цитата 2 Знак"/>
    <w:basedOn w:val="a0"/>
    <w:link w:val="21"/>
    <w:uiPriority w:val="29"/>
    <w:rsid w:val="00AD29E5"/>
    <w:rPr>
      <w:rFonts w:ascii="Times New Roman" w:hAnsi="Times New Roman"/>
      <w:i/>
      <w:iCs/>
      <w:color w:val="404040" w:themeColor="text1" w:themeTint="BF"/>
      <w:sz w:val="28"/>
    </w:rPr>
  </w:style>
  <w:style w:type="paragraph" w:styleId="a6">
    <w:name w:val="List Paragraph"/>
    <w:uiPriority w:val="34"/>
    <w:qFormat/>
    <w:rsid w:val="00AD29E5"/>
    <w:pPr>
      <w:ind w:left="720"/>
      <w:contextualSpacing/>
    </w:pPr>
  </w:style>
  <w:style w:type="character" w:styleId="a7">
    <w:name w:val="Intense Emphasis"/>
    <w:basedOn w:val="a0"/>
    <w:uiPriority w:val="21"/>
    <w:qFormat/>
    <w:rsid w:val="00AD29E5"/>
    <w:rPr>
      <w:i/>
      <w:iCs/>
      <w:color w:val="2E74B5" w:themeColor="accent1" w:themeShade="BF"/>
    </w:rPr>
  </w:style>
  <w:style w:type="paragraph" w:styleId="a8">
    <w:name w:val="Intense Quote"/>
    <w:link w:val="a9"/>
    <w:uiPriority w:val="30"/>
    <w:qFormat/>
    <w:rsid w:val="00AD29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sid w:val="00AD29E5"/>
    <w:rPr>
      <w:rFonts w:ascii="Times New Roman" w:hAnsi="Times New Roman"/>
      <w:i/>
      <w:iCs/>
      <w:color w:val="2E74B5" w:themeColor="accent1" w:themeShade="BF"/>
      <w:sz w:val="28"/>
    </w:rPr>
  </w:style>
  <w:style w:type="character" w:styleId="aa">
    <w:name w:val="Intense Reference"/>
    <w:basedOn w:val="a0"/>
    <w:uiPriority w:val="32"/>
    <w:qFormat/>
    <w:rsid w:val="00AD29E5"/>
    <w:rPr>
      <w:b/>
      <w:bCs/>
      <w:smallCaps/>
      <w:color w:val="2E74B5" w:themeColor="accent1" w:themeShade="BF"/>
      <w:spacing w:val="5"/>
    </w:rPr>
  </w:style>
  <w:style w:type="paragraph" w:styleId="ab">
    <w:name w:val="header"/>
    <w:link w:val="ac"/>
    <w:uiPriority w:val="99"/>
    <w:unhideWhenUsed/>
    <w:rsid w:val="002C3068"/>
    <w:pPr>
      <w:tabs>
        <w:tab w:val="center" w:pos="4677"/>
        <w:tab w:val="right" w:pos="9355"/>
      </w:tabs>
      <w:spacing w:after="0"/>
    </w:pPr>
  </w:style>
  <w:style w:type="character" w:customStyle="1" w:styleId="ac">
    <w:name w:val="Верхний колонтитул Знак"/>
    <w:basedOn w:val="a0"/>
    <w:link w:val="ab"/>
    <w:uiPriority w:val="99"/>
    <w:rsid w:val="002C3068"/>
    <w:rPr>
      <w:rFonts w:ascii="Times New Roman" w:hAnsi="Times New Roman"/>
      <w:sz w:val="28"/>
    </w:rPr>
  </w:style>
  <w:style w:type="paragraph" w:styleId="ad">
    <w:name w:val="footer"/>
    <w:link w:val="ae"/>
    <w:uiPriority w:val="99"/>
    <w:unhideWhenUsed/>
    <w:rsid w:val="002C3068"/>
    <w:pPr>
      <w:tabs>
        <w:tab w:val="center" w:pos="4677"/>
        <w:tab w:val="right" w:pos="9355"/>
      </w:tabs>
      <w:spacing w:after="0"/>
    </w:pPr>
  </w:style>
  <w:style w:type="character" w:customStyle="1" w:styleId="ae">
    <w:name w:val="Нижний колонтитул Знак"/>
    <w:basedOn w:val="a0"/>
    <w:link w:val="ad"/>
    <w:uiPriority w:val="99"/>
    <w:rsid w:val="002C3068"/>
    <w:rPr>
      <w:rFonts w:ascii="Times New Roman" w:hAnsi="Times New Roman"/>
      <w:sz w:val="28"/>
    </w:rPr>
  </w:style>
  <w:style w:type="paragraph" w:styleId="af">
    <w:name w:val="Normal (Web)"/>
    <w:uiPriority w:val="99"/>
    <w:semiHidden/>
    <w:unhideWhenUsed/>
    <w:rsid w:val="002C3068"/>
    <w:rPr>
      <w:sz w:val="24"/>
      <w:szCs w:val="24"/>
    </w:rPr>
  </w:style>
  <w:style w:type="paragraph" w:styleId="af0">
    <w:name w:val="Subtitle"/>
    <w:basedOn w:val="a"/>
    <w:next w:val="a"/>
    <w:rPr>
      <w:rFonts w:ascii="Calibri" w:eastAsia="Calibri" w:hAnsi="Calibri" w:cs="Calibri"/>
      <w:color w:val="5959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QsFTu4LsnlXUSRvlcy1GczD+g==">CgMxLjAaFAoBMBIPCg0IB0IJEgdHdW5nc3VoGhQKATESDwoNCAdCCRIHR3VuZ3N1aBoSCgEyEg0KCwgHQgcSBUNhcmRvMg5oLmFpdDZmMWp3YTdwajgAciExN2ZaM1JZNGdGNmpyZ1dCeDQxYTFEVG5tVm1rX1ZnNW8=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2431</Words>
  <Characters>13862</Characters>
  <Application>Microsoft Office Word</Application>
  <DocSecurity>0</DocSecurity>
  <Lines>115</Lines>
  <Paragraphs>32</Paragraphs>
  <ScaleCrop>false</ScaleCrop>
  <Company>KGMU</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ovchinnikov Ivan</dc:creator>
  <cp:lastModifiedBy>Стабаева Лейла</cp:lastModifiedBy>
  <cp:revision>2</cp:revision>
  <dcterms:created xsi:type="dcterms:W3CDTF">2025-06-14T11:19:00Z</dcterms:created>
  <dcterms:modified xsi:type="dcterms:W3CDTF">2025-10-13T05:28:00Z</dcterms:modified>
</cp:coreProperties>
</file>